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cleaned_by_fortinet-->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jc w:val="center"/>
      </w:pPr>
      <w:r>
        <w:rPr>
          <w:rFonts w:ascii="Barlow" w:cs="Barlow" w:eastAsia="Barlow" w:hAnsi="Barlow"/>
          <w:b/>
          <w:bCs/>
          <w:color w:val="000000"/>
          <w:sz w:val="28"/>
          <w:szCs w:val="28"/>
        </w:rPr>
        <w:t xml:space="preserve">STATUTS</w:t>
      </w:r>
    </w:p>
    <w:p>
      <w:pPr>
        <w:pBdr>
          <w:bottom w:val="single" w:color="E11A27" w:sz="12" w:space="6"/>
        </w:pBdr>
        <w:spacing w:after="240" w:before="0"/>
        <w:jc w:val="center"/>
      </w:pPr>
      <w:r>
        <w:rPr>
          <w:rFonts w:ascii="Barlow" w:cs="Barlow" w:eastAsia="Barlow" w:hAnsi="Barlow"/>
          <w:b/>
          <w:bCs/>
          <w:color w:val="E11A27"/>
          <w:sz w:val="36"/>
          <w:szCs w:val="36"/>
        </w:rPr>
        <w:t xml:space="preserve">DECIDIM SWITZERLAND</w:t>
      </w:r>
    </w:p>
    <w:p>
      <w:pPr>
        <w:pStyle w:val="Heading1"/>
        <w:spacing w:after="140" w:before="320"/>
      </w:pPr>
      <w:r>
        <w:rPr>
          <w:rFonts w:ascii="Barlow" w:cs="Barlow" w:eastAsia="Barlow" w:hAnsi="Barlow"/>
          <w:b/>
          <w:bCs/>
          <w:color w:val="E11A27"/>
          <w:sz w:val="28"/>
          <w:szCs w:val="28"/>
        </w:rPr>
        <w:t xml:space="preserve">I. Nom, siège, but et moyens</w:t>
      </w:r>
    </w:p>
    <w:p>
      <w:pPr>
        <w:pStyle w:val="Heading2"/>
        <w:spacing w:after="120" w:before="240"/>
      </w:pPr>
      <w:r>
        <w:rPr>
          <w:rFonts w:ascii="Barlow" w:cs="Barlow" w:eastAsia="Barlow" w:hAnsi="Barlow"/>
          <w:b/>
          <w:bCs/>
          <w:color w:val="000000"/>
          <w:sz w:val="24"/>
          <w:szCs w:val="24"/>
        </w:rPr>
        <w:t xml:space="preserve">Article 1 – Nom et siège</w:t>
      </w:r>
    </w:p>
    <w:p>
      <w:pPr>
        <w:spacing w:after="80" w:before="80"/>
      </w:pPr>
      <w:r>
        <w:rPr>
          <w:rFonts w:ascii="Barlow" w:cs="Barlow" w:eastAsia="Barlow" w:hAnsi="Barlow"/>
          <w:sz w:val="22"/>
          <w:szCs w:val="22"/>
        </w:rPr>
        <w:t xml:space="preserve">Sous le nom de « Decidim Switzerland » (ci-après l’« Association »), il est constitué une association au sens des art. 60 ss du Code civil suisse (« CC »).</w:t>
      </w:r>
    </w:p>
    <w:p>
      <w:pPr>
        <w:spacing w:after="80" w:before="80"/>
      </w:pPr>
      <w:r>
        <w:rPr>
          <w:rFonts w:ascii="Barlow" w:cs="Barlow" w:eastAsia="Barlow" w:hAnsi="Barlow"/>
          <w:sz w:val="22"/>
          <w:szCs w:val="22"/>
        </w:rPr>
        <w:t xml:space="preserve">Le siège de l’Association est à Berne.</w:t>
      </w:r>
    </w:p>
    <w:p>
      <w:pPr>
        <w:pStyle w:val="Heading2"/>
        <w:spacing w:after="120" w:before="240"/>
      </w:pPr>
      <w:r>
        <w:rPr>
          <w:rFonts w:ascii="Barlow" w:cs="Barlow" w:eastAsia="Barlow" w:hAnsi="Barlow"/>
          <w:b/>
          <w:bCs/>
          <w:color w:val="000000"/>
          <w:sz w:val="24"/>
          <w:szCs w:val="24"/>
        </w:rPr>
        <w:t xml:space="preserve">Article 2 – But et moyens</w:t>
      </w:r>
    </w:p>
    <w:p>
      <w:pPr>
        <w:spacing w:after="80" w:before="80"/>
      </w:pPr>
      <w:r>
        <w:rPr>
          <w:rFonts w:ascii="Barlow" w:cs="Barlow" w:eastAsia="Barlow" w:hAnsi="Barlow"/>
          <w:sz w:val="22"/>
          <w:szCs w:val="22"/>
        </w:rPr>
        <w:t xml:space="preserve">L’Association est constituée afin de soutenir, promouvoir et mettre en œuvre la mission du projet de démocratie participative Decidim en Suisse, telle qu’elle est exprimée dans le Decidim Social Contract. Elle est constituée en tant que chapter local officiel de Decidim.</w:t>
      </w:r>
    </w:p>
    <w:p>
      <w:pPr>
        <w:spacing w:after="80" w:before="80"/>
      </w:pPr>
      <w:r>
        <w:rPr>
          <w:rFonts w:ascii="Barlow" w:cs="Barlow" w:eastAsia="Barlow" w:hAnsi="Barlow"/>
          <w:sz w:val="22"/>
          <w:szCs w:val="22"/>
        </w:rPr>
        <w:t xml:space="preserve">L’Association peut entreprendre toute activité licite pour atteindre son but.</w:t>
      </w:r>
    </w:p>
    <w:p>
      <w:pPr>
        <w:spacing w:after="80" w:before="80"/>
      </w:pPr>
      <w:r>
        <w:rPr>
          <w:rFonts w:ascii="Barlow" w:cs="Barlow" w:eastAsia="Barlow" w:hAnsi="Barlow"/>
          <w:sz w:val="22"/>
          <w:szCs w:val="22"/>
        </w:rPr>
        <w:t xml:space="preserve">En particulier, l’Association peut :</w:t>
      </w:r>
    </w:p>
    <w:p>
      <w:pPr>
        <w:spacing w:after="60" w:before="60"/>
        <w:ind w:left="360"/>
      </w:pPr>
      <w:r>
        <w:rPr>
          <w:rFonts w:ascii="Barlow" w:cs="Barlow" w:eastAsia="Barlow" w:hAnsi="Barlow"/>
          <w:b/>
          <w:bCs/>
          <w:sz w:val="22"/>
          <w:szCs w:val="22"/>
        </w:rPr>
        <w:t xml:space="preserve">3.a </w:t>
      </w:r>
      <w:r>
        <w:rPr>
          <w:rFonts w:ascii="Barlow" w:cs="Barlow" w:eastAsia="Barlow" w:hAnsi="Barlow"/>
          <w:sz w:val="22"/>
          <w:szCs w:val="22"/>
        </w:rPr>
        <w:t xml:space="preserve">fonctionner comme interface sociale pour la communauté Decidim en Suisse ;</w:t>
      </w:r>
    </w:p>
    <w:p>
      <w:pPr>
        <w:spacing w:after="60" w:before="60"/>
        <w:ind w:left="360"/>
      </w:pPr>
      <w:r>
        <w:rPr>
          <w:rFonts w:ascii="Barlow" w:cs="Barlow" w:eastAsia="Barlow" w:hAnsi="Barlow"/>
          <w:b/>
          <w:bCs/>
          <w:sz w:val="22"/>
          <w:szCs w:val="22"/>
        </w:rPr>
        <w:t xml:space="preserve">3.b </w:t>
      </w:r>
      <w:r>
        <w:rPr>
          <w:rFonts w:ascii="Barlow" w:cs="Barlow" w:eastAsia="Barlow" w:hAnsi="Barlow"/>
          <w:sz w:val="22"/>
          <w:szCs w:val="22"/>
        </w:rPr>
        <w:t xml:space="preserve">centraliser les besoins d’adaptations techniques du logiciel Decidim au contexte suisse ;</w:t>
      </w:r>
    </w:p>
    <w:p>
      <w:pPr>
        <w:spacing w:after="60" w:before="60"/>
        <w:ind w:left="360"/>
      </w:pPr>
      <w:r>
        <w:rPr>
          <w:rFonts w:ascii="Barlow" w:cs="Barlow" w:eastAsia="Barlow" w:hAnsi="Barlow"/>
          <w:b/>
          <w:bCs/>
          <w:sz w:val="22"/>
          <w:szCs w:val="22"/>
        </w:rPr>
        <w:t xml:space="preserve">3.c </w:t>
      </w:r>
      <w:r>
        <w:rPr>
          <w:rFonts w:ascii="Barlow" w:cs="Barlow" w:eastAsia="Barlow" w:hAnsi="Barlow"/>
          <w:sz w:val="22"/>
          <w:szCs w:val="22"/>
        </w:rPr>
        <w:t xml:space="preserve">financer et organiser des activités communautaires telles que des hackathons et des ateliers ;</w:t>
      </w:r>
    </w:p>
    <w:p>
      <w:pPr>
        <w:spacing w:after="60" w:before="60"/>
        <w:ind w:left="360"/>
      </w:pPr>
      <w:r>
        <w:rPr>
          <w:rFonts w:ascii="Barlow" w:cs="Barlow" w:eastAsia="Barlow" w:hAnsi="Barlow"/>
          <w:b/>
          <w:bCs/>
          <w:sz w:val="22"/>
          <w:szCs w:val="22"/>
        </w:rPr>
        <w:t xml:space="preserve">3.d </w:t>
      </w:r>
      <w:r>
        <w:rPr>
          <w:rFonts w:ascii="Barlow" w:cs="Barlow" w:eastAsia="Barlow" w:hAnsi="Barlow"/>
          <w:sz w:val="22"/>
          <w:szCs w:val="22"/>
        </w:rPr>
        <w:t xml:space="preserve">contribuer par des traductions et de la documentation ;</w:t>
      </w:r>
    </w:p>
    <w:p>
      <w:pPr>
        <w:spacing w:after="60" w:before="60"/>
        <w:ind w:left="360"/>
      </w:pPr>
      <w:r>
        <w:rPr>
          <w:rFonts w:ascii="Barlow" w:cs="Barlow" w:eastAsia="Barlow" w:hAnsi="Barlow"/>
          <w:b/>
          <w:bCs/>
          <w:sz w:val="22"/>
          <w:szCs w:val="22"/>
        </w:rPr>
        <w:t xml:space="preserve">3.e </w:t>
      </w:r>
      <w:r>
        <w:rPr>
          <w:rFonts w:ascii="Barlow" w:cs="Barlow" w:eastAsia="Barlow" w:hAnsi="Barlow"/>
          <w:sz w:val="22"/>
          <w:szCs w:val="22"/>
        </w:rPr>
        <w:t xml:space="preserve">parrainer le projet Decidim ;</w:t>
      </w:r>
    </w:p>
    <w:p>
      <w:pPr>
        <w:spacing w:after="60" w:before="60"/>
        <w:ind w:left="360"/>
      </w:pPr>
      <w:r>
        <w:rPr>
          <w:rFonts w:ascii="Barlow" w:cs="Barlow" w:eastAsia="Barlow" w:hAnsi="Barlow"/>
          <w:b/>
          <w:bCs/>
          <w:sz w:val="22"/>
          <w:szCs w:val="22"/>
        </w:rPr>
        <w:t xml:space="preserve">3.f </w:t>
      </w:r>
      <w:r>
        <w:rPr>
          <w:rFonts w:ascii="Barlow" w:cs="Barlow" w:eastAsia="Barlow" w:hAnsi="Barlow"/>
          <w:sz w:val="22"/>
          <w:szCs w:val="22"/>
        </w:rPr>
        <w:t xml:space="preserve">soutenir des études et recherches menées par des institutions de recherche suisses ou portant sur l’écosystème Decidim suisse ;</w:t>
      </w:r>
    </w:p>
    <w:p>
      <w:pPr>
        <w:spacing w:after="60" w:before="60"/>
        <w:ind w:left="360"/>
      </w:pPr>
      <w:r>
        <w:rPr>
          <w:rFonts w:ascii="Barlow" w:cs="Barlow" w:eastAsia="Barlow" w:hAnsi="Barlow"/>
          <w:b/>
          <w:bCs/>
          <w:sz w:val="22"/>
          <w:szCs w:val="22"/>
        </w:rPr>
        <w:t xml:space="preserve">3.g </w:t>
      </w:r>
      <w:r>
        <w:rPr>
          <w:rFonts w:ascii="Barlow" w:cs="Barlow" w:eastAsia="Barlow" w:hAnsi="Barlow"/>
          <w:sz w:val="22"/>
          <w:szCs w:val="22"/>
        </w:rPr>
        <w:t xml:space="preserve">assurer la transparence sur son fonctionnement et sa gouvernance sur une instance Decidim.</w:t>
      </w:r>
    </w:p>
    <w:p>
      <w:pPr>
        <w:spacing w:after="80" w:before="80"/>
      </w:pPr>
      <w:r>
        <w:rPr>
          <w:rFonts w:ascii="Barlow" w:cs="Barlow" w:eastAsia="Barlow" w:hAnsi="Barlow"/>
          <w:sz w:val="22"/>
          <w:szCs w:val="22"/>
        </w:rPr>
        <w:t xml:space="preserve">L’Association ne poursuit pas de but lucratif et ne cherche pas à réaliser de bénéfices. L’Association est politiquement et confessionnellement indépendante. Le Comité travaille à titre bénévole.</w:t>
      </w:r>
    </w:p>
    <w:p>
      <w:pPr>
        <w:pStyle w:val="Heading2"/>
        <w:spacing w:after="120" w:before="240"/>
      </w:pPr>
      <w:r>
        <w:rPr>
          <w:rFonts w:ascii="Barlow" w:cs="Barlow" w:eastAsia="Barlow" w:hAnsi="Barlow"/>
          <w:b/>
          <w:bCs/>
          <w:color w:val="000000"/>
          <w:sz w:val="24"/>
          <w:szCs w:val="24"/>
        </w:rPr>
        <w:t xml:space="preserve">Article 4 – Limitations</w:t>
      </w:r>
    </w:p>
    <w:p>
      <w:pPr>
        <w:spacing w:after="80" w:before="80"/>
      </w:pPr>
      <w:r>
        <w:rPr>
          <w:rFonts w:ascii="Barlow" w:cs="Barlow" w:eastAsia="Barlow" w:hAnsi="Barlow"/>
          <w:sz w:val="22"/>
          <w:szCs w:val="22"/>
        </w:rPr>
        <w:t xml:space="preserve">L’Association ne peut exercer d’activités entrant en concurrence avec les structures existantes au sein du projet Decidim, en particulier :</w:t>
      </w:r>
    </w:p>
    <w:p>
      <w:pPr>
        <w:spacing w:after="60" w:before="60"/>
        <w:ind w:left="360"/>
      </w:pPr>
      <w:r>
        <w:rPr>
          <w:rFonts w:ascii="Barlow" w:cs="Barlow" w:eastAsia="Barlow" w:hAnsi="Barlow"/>
          <w:b/>
          <w:bCs/>
          <w:sz w:val="22"/>
          <w:szCs w:val="22"/>
        </w:rPr>
        <w:t xml:space="preserve">4.a </w:t>
      </w:r>
      <w:r>
        <w:rPr>
          <w:rFonts w:ascii="Barlow" w:cs="Barlow" w:eastAsia="Barlow" w:hAnsi="Barlow"/>
          <w:sz w:val="22"/>
          <w:szCs w:val="22"/>
        </w:rPr>
        <w:t xml:space="preserve">les actions et comités concernant l’ensemble du projet Decidim et établis au sein de la Decidim Free Software Association ;</w:t>
      </w:r>
    </w:p>
    <w:p>
      <w:pPr>
        <w:spacing w:after="60" w:before="60"/>
        <w:ind w:left="360"/>
      </w:pPr>
      <w:r>
        <w:rPr>
          <w:rFonts w:ascii="Barlow" w:cs="Barlow" w:eastAsia="Barlow" w:hAnsi="Barlow"/>
          <w:b/>
          <w:bCs/>
          <w:sz w:val="22"/>
          <w:szCs w:val="22"/>
        </w:rPr>
        <w:t xml:space="preserve">4.b </w:t>
      </w:r>
      <w:r>
        <w:rPr>
          <w:rFonts w:ascii="Barlow" w:cs="Barlow" w:eastAsia="Barlow" w:hAnsi="Barlow"/>
          <w:sz w:val="22"/>
          <w:szCs w:val="22"/>
        </w:rPr>
        <w:t xml:space="preserve">les actions entrant en concurrence directe avec les droits accordés par la Decidim Partnership Policy, telles que la fourniture de prestations destinées uniquement à des instances Decidim spécifiques.</w:t>
      </w:r>
    </w:p>
    <w:p>
      <w:pPr>
        <w:pStyle w:val="Heading2"/>
        <w:spacing w:after="120" w:before="240"/>
      </w:pPr>
      <w:r>
        <w:rPr>
          <w:rFonts w:ascii="Barlow" w:cs="Barlow" w:eastAsia="Barlow" w:hAnsi="Barlow"/>
          <w:b/>
          <w:bCs/>
          <w:color w:val="000000"/>
          <w:sz w:val="24"/>
          <w:szCs w:val="24"/>
        </w:rPr>
        <w:t xml:space="preserve">Article 5 – Ressources</w:t>
      </w:r>
    </w:p>
    <w:p>
      <w:pPr>
        <w:spacing w:after="80" w:before="80"/>
      </w:pPr>
      <w:r>
        <w:rPr>
          <w:rFonts w:ascii="Barlow" w:cs="Barlow" w:eastAsia="Barlow" w:hAnsi="Barlow"/>
          <w:sz w:val="22"/>
          <w:szCs w:val="22"/>
        </w:rPr>
        <w:t xml:space="preserve">Pour la poursuite de son but, l’Association dispose des ressources suivantes :</w:t>
      </w:r>
    </w:p>
    <w:p>
      <w:pPr>
        <w:pStyle w:val="ListParagraph"/>
        <w:numPr>
          <w:ilvl w:val="0"/>
          <w:numId w:val="2"/>
        </w:numPr>
        <w:spacing w:after="40" w:before="40"/>
      </w:pPr>
      <w:r>
        <w:rPr>
          <w:rFonts w:ascii="Barlow" w:cs="Barlow" w:eastAsia="Barlow" w:hAnsi="Barlow"/>
          <w:sz w:val="22"/>
          <w:szCs w:val="22"/>
        </w:rPr>
        <w:t xml:space="preserve">cotisations des membres</w:t>
      </w:r>
    </w:p>
    <w:p>
      <w:pPr>
        <w:pStyle w:val="ListParagraph"/>
        <w:numPr>
          <w:ilvl w:val="0"/>
          <w:numId w:val="2"/>
        </w:numPr>
        <w:spacing w:after="40" w:before="40"/>
      </w:pPr>
      <w:r>
        <w:rPr>
          <w:rFonts w:ascii="Barlow" w:cs="Barlow" w:eastAsia="Barlow" w:hAnsi="Barlow"/>
          <w:sz w:val="22"/>
          <w:szCs w:val="22"/>
        </w:rPr>
        <w:t xml:space="preserve">revenus de ses propres projets / événements</w:t>
      </w:r>
    </w:p>
    <w:p>
      <w:pPr>
        <w:pStyle w:val="ListParagraph"/>
        <w:numPr>
          <w:ilvl w:val="0"/>
          <w:numId w:val="2"/>
        </w:numPr>
        <w:spacing w:after="40" w:before="40"/>
      </w:pPr>
      <w:r>
        <w:rPr>
          <w:rFonts w:ascii="Barlow" w:cs="Barlow" w:eastAsia="Barlow" w:hAnsi="Barlow"/>
          <w:sz w:val="22"/>
          <w:szCs w:val="22"/>
        </w:rPr>
        <w:t xml:space="preserve">subventions / contributions à des projets et parrainages</w:t>
      </w:r>
    </w:p>
    <w:p>
      <w:pPr>
        <w:pStyle w:val="ListParagraph"/>
        <w:numPr>
          <w:ilvl w:val="0"/>
          <w:numId w:val="2"/>
        </w:numPr>
        <w:spacing w:after="40" w:before="40"/>
      </w:pPr>
      <w:r>
        <w:rPr>
          <w:rFonts w:ascii="Barlow" w:cs="Barlow" w:eastAsia="Barlow" w:hAnsi="Barlow"/>
          <w:sz w:val="22"/>
          <w:szCs w:val="22"/>
        </w:rPr>
        <w:t xml:space="preserve">revenus issus de contrats de prestations</w:t>
      </w:r>
    </w:p>
    <w:p>
      <w:pPr>
        <w:pStyle w:val="ListParagraph"/>
        <w:numPr>
          <w:ilvl w:val="0"/>
          <w:numId w:val="2"/>
        </w:numPr>
        <w:spacing w:after="40" w:before="40"/>
      </w:pPr>
      <w:r>
        <w:rPr>
          <w:rFonts w:ascii="Barlow" w:cs="Barlow" w:eastAsia="Barlow" w:hAnsi="Barlow"/>
          <w:sz w:val="22"/>
          <w:szCs w:val="22"/>
        </w:rPr>
        <w:t xml:space="preserve">dons et libéralités de toute nature</w:t>
      </w:r>
    </w:p>
    <w:p>
      <w:pPr>
        <w:spacing w:after="80" w:before="80"/>
      </w:pPr>
      <w:r>
        <w:rPr>
          <w:rFonts w:ascii="Barlow" w:cs="Barlow" w:eastAsia="Barlow" w:hAnsi="Barlow"/>
          <w:sz w:val="22"/>
          <w:szCs w:val="22"/>
        </w:rPr>
        <w:t xml:space="preserve">Les ressources de l’Association peuvent provenir de dons, legs, partenariats, subventions publiques, cotisations des membres et revenus générés par les actifs de l’Association.</w:t>
      </w:r>
    </w:p>
    <w:p>
      <w:pPr>
        <w:spacing w:after="80" w:before="80"/>
      </w:pPr>
      <w:r>
        <w:rPr>
          <w:rFonts w:ascii="Barlow" w:cs="Barlow" w:eastAsia="Barlow" w:hAnsi="Barlow"/>
          <w:sz w:val="22"/>
          <w:szCs w:val="22"/>
        </w:rPr>
        <w:t xml:space="preserve">Toutes les ressources de l’Association sont utilisées exclusivement à ses fins non lucratives.</w:t>
      </w:r>
    </w:p>
    <w:p>
      <w:pPr>
        <w:pStyle w:val="Heading2"/>
        <w:spacing w:after="120" w:before="240"/>
      </w:pPr>
      <w:r>
        <w:rPr>
          <w:rFonts w:ascii="Barlow" w:cs="Barlow" w:eastAsia="Barlow" w:hAnsi="Barlow"/>
          <w:b/>
          <w:bCs/>
          <w:color w:val="000000"/>
          <w:sz w:val="24"/>
          <w:szCs w:val="24"/>
        </w:rPr>
        <w:t xml:space="preserve">Article 6 – Convention de marque</w:t>
      </w:r>
    </w:p>
    <w:p>
      <w:pPr>
        <w:spacing w:after="80" w:before="80"/>
      </w:pPr>
      <w:r>
        <w:rPr>
          <w:rFonts w:ascii="Barlow" w:cs="Barlow" w:eastAsia="Barlow" w:hAnsi="Barlow"/>
          <w:sz w:val="22"/>
          <w:szCs w:val="22"/>
        </w:rPr>
        <w:t xml:space="preserve">L’Association conclut une convention de marque avec la Decidim Free Software Association.</w:t>
      </w:r>
    </w:p>
    <w:p>
      <w:pPr>
        <w:spacing w:after="80" w:before="80"/>
      </w:pPr>
      <w:r>
        <w:rPr>
          <w:rFonts w:ascii="Barlow" w:cs="Barlow" w:eastAsia="Barlow" w:hAnsi="Barlow"/>
          <w:sz w:val="22"/>
          <w:szCs w:val="22"/>
        </w:rPr>
        <w:t xml:space="preserve">La convention de marque règle l’utilisation des ressources et les éventuelles contributions à la Decidim Free Software Association.</w:t>
      </w:r>
    </w:p>
    <w:p>
      <w:pPr>
        <w:pStyle w:val="Heading1"/>
        <w:spacing w:after="140" w:before="320"/>
      </w:pPr>
      <w:r>
        <w:rPr>
          <w:rFonts w:ascii="Barlow" w:cs="Barlow" w:eastAsia="Barlow" w:hAnsi="Barlow"/>
          <w:b/>
          <w:bCs/>
          <w:color w:val="E11A27"/>
          <w:sz w:val="28"/>
          <w:szCs w:val="28"/>
        </w:rPr>
        <w:t xml:space="preserve">II. Membres</w:t>
      </w:r>
    </w:p>
    <w:p>
      <w:pPr>
        <w:pStyle w:val="Heading2"/>
        <w:spacing w:after="120" w:before="240"/>
      </w:pPr>
      <w:r>
        <w:rPr>
          <w:rFonts w:ascii="Barlow" w:cs="Barlow" w:eastAsia="Barlow" w:hAnsi="Barlow"/>
          <w:b/>
          <w:bCs/>
          <w:color w:val="000000"/>
          <w:sz w:val="24"/>
          <w:szCs w:val="24"/>
        </w:rPr>
        <w:t xml:space="preserve">Article 7 – Membres</w:t>
      </w:r>
    </w:p>
    <w:p>
      <w:pPr>
        <w:spacing w:after="80" w:before="80"/>
      </w:pPr>
      <w:r>
        <w:rPr>
          <w:rFonts w:ascii="Barlow" w:cs="Barlow" w:eastAsia="Barlow" w:hAnsi="Barlow"/>
          <w:sz w:val="22"/>
          <w:szCs w:val="22"/>
        </w:rPr>
        <w:t xml:space="preserve">Les membres de l’Association (les « Membres ») sont des personnes physiques ou des institutions ayant un intérêt pour le but et les activités de l’Association et souhaitant les soutenir.</w:t>
      </w:r>
    </w:p>
    <w:p>
      <w:pPr>
        <w:spacing w:after="80" w:before="80"/>
      </w:pPr>
      <w:r>
        <w:rPr>
          <w:rFonts w:ascii="Barlow" w:cs="Barlow" w:eastAsia="Barlow" w:hAnsi="Barlow"/>
          <w:sz w:val="22"/>
          <w:szCs w:val="22"/>
        </w:rPr>
        <w:t xml:space="preserve">Si une personne morale devient membre, elle ne dispose que d’une seule voix, qu’elle peut faire représenter par des délégués alternants.</w:t>
      </w:r>
    </w:p>
    <w:p>
      <w:pPr>
        <w:pStyle w:val="Heading2"/>
        <w:spacing w:after="120" w:before="240"/>
      </w:pPr>
      <w:r>
        <w:rPr>
          <w:rFonts w:ascii="Barlow" w:cs="Barlow" w:eastAsia="Barlow" w:hAnsi="Barlow"/>
          <w:b/>
          <w:bCs/>
          <w:color w:val="000000"/>
          <w:sz w:val="24"/>
          <w:szCs w:val="24"/>
        </w:rPr>
        <w:t xml:space="preserve">Article 8 – Début de la qualité de membre</w:t>
      </w:r>
    </w:p>
    <w:p>
      <w:pPr>
        <w:spacing w:after="80" w:before="80"/>
      </w:pPr>
      <w:r>
        <w:rPr>
          <w:rFonts w:ascii="Barlow" w:cs="Barlow" w:eastAsia="Barlow" w:hAnsi="Barlow"/>
          <w:sz w:val="22"/>
          <w:szCs w:val="22"/>
        </w:rPr>
        <w:t xml:space="preserve">Les fondateurs sont les premiers Membres de l’Association.</w:t>
      </w:r>
    </w:p>
    <w:p>
      <w:pPr>
        <w:spacing w:after="80" w:before="80"/>
      </w:pPr>
      <w:r>
        <w:rPr>
          <w:rFonts w:ascii="Barlow" w:cs="Barlow" w:eastAsia="Barlow" w:hAnsi="Barlow"/>
          <w:sz w:val="22"/>
          <w:szCs w:val="22"/>
        </w:rPr>
        <w:t xml:space="preserve">D’autres Membres peuvent rejoindre l’Association en adressant une demande écrite au Comité.</w:t>
      </w:r>
    </w:p>
    <w:p>
      <w:pPr>
        <w:spacing w:after="80" w:before="80"/>
      </w:pPr>
      <w:r>
        <w:rPr>
          <w:rFonts w:ascii="Barlow" w:cs="Barlow" w:eastAsia="Barlow" w:hAnsi="Barlow"/>
          <w:sz w:val="22"/>
          <w:szCs w:val="22"/>
        </w:rPr>
        <w:t xml:space="preserve">Le Comité peut examiner et approuver les demandes.</w:t>
      </w:r>
    </w:p>
    <w:p>
      <w:pPr>
        <w:pStyle w:val="Heading2"/>
        <w:spacing w:after="120" w:before="240"/>
      </w:pPr>
      <w:r>
        <w:rPr>
          <w:rFonts w:ascii="Barlow" w:cs="Barlow" w:eastAsia="Barlow" w:hAnsi="Barlow"/>
          <w:b/>
          <w:bCs/>
          <w:color w:val="000000"/>
          <w:sz w:val="24"/>
          <w:szCs w:val="24"/>
        </w:rPr>
        <w:t xml:space="preserve">Article 9 – Fin de la qualité de membre</w:t>
      </w:r>
    </w:p>
    <w:p>
      <w:pPr>
        <w:spacing w:after="80" w:before="80"/>
      </w:pPr>
      <w:r>
        <w:rPr>
          <w:rFonts w:ascii="Barlow" w:cs="Barlow" w:eastAsia="Barlow" w:hAnsi="Barlow"/>
          <w:sz w:val="22"/>
          <w:szCs w:val="22"/>
        </w:rPr>
        <w:t xml:space="preserve">La démission de l’Association est possible en tout temps. La lettre de démission doit être adressée par écrit au Comité au moins quatre semaines à l’avance. La cotisation pour l’année en cours reste due en totalité, à moins que le Comité n’accorde une exception.</w:t>
      </w:r>
    </w:p>
    <w:p>
      <w:pPr>
        <w:spacing w:after="80" w:before="80"/>
      </w:pPr>
      <w:r>
        <w:rPr>
          <w:rFonts w:ascii="Barlow" w:cs="Barlow" w:eastAsia="Barlow" w:hAnsi="Barlow"/>
          <w:sz w:val="22"/>
          <w:szCs w:val="22"/>
        </w:rPr>
        <w:t xml:space="preserve">La qualité de membre prend fin au décès du Membre s’il s’agit d’une personne physique (art. 70 al. 3 CC) ou à la dissolution du Membre s’il s’agit d’une institution.</w:t>
      </w:r>
    </w:p>
    <w:p>
      <w:pPr>
        <w:spacing w:after="80" w:before="80"/>
      </w:pPr>
      <w:r>
        <w:rPr>
          <w:rFonts w:ascii="Barlow" w:cs="Barlow" w:eastAsia="Barlow" w:hAnsi="Barlow"/>
          <w:sz w:val="22"/>
          <w:szCs w:val="22"/>
        </w:rPr>
        <w:t xml:space="preserve">Un Membre peut être exclu de l’Association en tout temps en cas de violation des statuts, d’atteinte au but et aux objectifs de l’Association, ou d’usage abusif des connaissances et des données de l’Association. Un Membre peut également être exclu automatiquement par le Comité s’il est en retard dans le paiement de sa cotisation. Le Membre peut porter la décision d’exclusion du Comité devant l’Assemblée générale.</w:t>
      </w:r>
    </w:p>
    <w:p>
      <w:pPr>
        <w:spacing w:after="80" w:before="80"/>
      </w:pPr>
      <w:r>
        <w:rPr>
          <w:rFonts w:ascii="Barlow" w:cs="Barlow" w:eastAsia="Barlow" w:hAnsi="Barlow"/>
          <w:sz w:val="22"/>
          <w:szCs w:val="22"/>
        </w:rPr>
        <w:t xml:space="preserve">L’Assemblée générale peut exclure un Membre sans indication de motifs si la proposition d’exclusion est approuvée par les deux tiers des Membres présents.</w:t>
      </w:r>
    </w:p>
    <w:p>
      <w:pPr>
        <w:spacing w:after="80" w:before="80"/>
      </w:pPr>
      <w:r>
        <w:rPr>
          <w:rFonts w:ascii="Barlow" w:cs="Barlow" w:eastAsia="Barlow" w:hAnsi="Barlow"/>
          <w:sz w:val="22"/>
          <w:szCs w:val="22"/>
        </w:rPr>
        <w:t xml:space="preserve">Un Membre démissionnaire ou exclu n’a aucun droit sur les actifs de l’Association.</w:t>
      </w:r>
    </w:p>
    <w:p>
      <w:pPr>
        <w:pStyle w:val="Heading2"/>
        <w:spacing w:after="120" w:before="240"/>
      </w:pPr>
      <w:r>
        <w:rPr>
          <w:rFonts w:ascii="Barlow" w:cs="Barlow" w:eastAsia="Barlow" w:hAnsi="Barlow"/>
          <w:b/>
          <w:bCs/>
          <w:color w:val="000000"/>
          <w:sz w:val="24"/>
          <w:szCs w:val="24"/>
        </w:rPr>
        <w:t xml:space="preserve">Article 10 – Cotisations</w:t>
      </w:r>
    </w:p>
    <w:p>
      <w:pPr>
        <w:spacing w:after="80" w:before="80"/>
      </w:pPr>
      <w:r>
        <w:rPr>
          <w:rFonts w:ascii="Barlow" w:cs="Barlow" w:eastAsia="Barlow" w:hAnsi="Barlow"/>
          <w:sz w:val="22"/>
          <w:szCs w:val="22"/>
        </w:rPr>
        <w:t xml:space="preserve">L’Assemblée générale décide du principe des cotisations et de leur montant.</w:t>
      </w:r>
    </w:p>
    <w:p>
      <w:pPr>
        <w:pStyle w:val="Heading1"/>
        <w:spacing w:after="140" w:before="320"/>
      </w:pPr>
      <w:r>
        <w:rPr>
          <w:rFonts w:ascii="Barlow" w:cs="Barlow" w:eastAsia="Barlow" w:hAnsi="Barlow"/>
          <w:b/>
          <w:bCs/>
          <w:color w:val="E11A27"/>
          <w:sz w:val="28"/>
          <w:szCs w:val="28"/>
        </w:rPr>
        <w:t xml:space="preserve">III. Organisation et gouvernance</w:t>
      </w:r>
    </w:p>
    <w:p>
      <w:pPr>
        <w:pStyle w:val="Heading2"/>
        <w:spacing w:after="120" w:before="240"/>
      </w:pPr>
      <w:r>
        <w:rPr>
          <w:rFonts w:ascii="Barlow" w:cs="Barlow" w:eastAsia="Barlow" w:hAnsi="Barlow"/>
          <w:b/>
          <w:bCs/>
          <w:color w:val="000000"/>
          <w:sz w:val="24"/>
          <w:szCs w:val="24"/>
        </w:rPr>
        <w:t xml:space="preserve">Article 11 – Organes de l’Association</w:t>
      </w:r>
    </w:p>
    <w:p>
      <w:pPr>
        <w:spacing w:after="80" w:before="80"/>
      </w:pPr>
      <w:r>
        <w:rPr>
          <w:rFonts w:ascii="Barlow" w:cs="Barlow" w:eastAsia="Barlow" w:hAnsi="Barlow"/>
          <w:sz w:val="22"/>
          <w:szCs w:val="22"/>
        </w:rPr>
        <w:t xml:space="preserve">Les organes de l’Association sont :</w:t>
      </w:r>
    </w:p>
    <w:p>
      <w:pPr>
        <w:spacing w:after="60" w:before="60"/>
        <w:ind w:left="360"/>
      </w:pPr>
      <w:r>
        <w:rPr>
          <w:rFonts w:ascii="Barlow" w:cs="Barlow" w:eastAsia="Barlow" w:hAnsi="Barlow"/>
          <w:b/>
          <w:bCs/>
          <w:sz w:val="22"/>
          <w:szCs w:val="22"/>
        </w:rPr>
        <w:t xml:space="preserve">11.a </w:t>
      </w:r>
      <w:r>
        <w:rPr>
          <w:rFonts w:ascii="Barlow" w:cs="Barlow" w:eastAsia="Barlow" w:hAnsi="Barlow"/>
          <w:sz w:val="22"/>
          <w:szCs w:val="22"/>
        </w:rPr>
        <w:t xml:space="preserve">l’Assemblée générale ;</w:t>
      </w:r>
    </w:p>
    <w:p>
      <w:pPr>
        <w:spacing w:after="60" w:before="60"/>
        <w:ind w:left="360"/>
      </w:pPr>
      <w:r>
        <w:rPr>
          <w:rFonts w:ascii="Barlow" w:cs="Barlow" w:eastAsia="Barlow" w:hAnsi="Barlow"/>
          <w:b/>
          <w:bCs/>
          <w:sz w:val="22"/>
          <w:szCs w:val="22"/>
        </w:rPr>
        <w:t xml:space="preserve">11.b </w:t>
      </w:r>
      <w:r>
        <w:rPr>
          <w:rFonts w:ascii="Barlow" w:cs="Barlow" w:eastAsia="Barlow" w:hAnsi="Barlow"/>
          <w:sz w:val="22"/>
          <w:szCs w:val="22"/>
        </w:rPr>
        <w:t xml:space="preserve">le Comité, composé d’au moins 3 personnes ;</w:t>
      </w:r>
    </w:p>
    <w:p>
      <w:pPr>
        <w:spacing w:after="60" w:before="60"/>
        <w:ind w:left="360"/>
      </w:pPr>
      <w:r>
        <w:rPr>
          <w:rFonts w:ascii="Barlow" w:cs="Barlow" w:eastAsia="Barlow" w:hAnsi="Barlow"/>
          <w:b/>
          <w:bCs/>
          <w:sz w:val="22"/>
          <w:szCs w:val="22"/>
        </w:rPr>
        <w:t xml:space="preserve">11.c </w:t>
      </w:r>
      <w:r>
        <w:rPr>
          <w:rFonts w:ascii="Barlow" w:cs="Barlow" w:eastAsia="Barlow" w:hAnsi="Barlow"/>
          <w:sz w:val="22"/>
          <w:szCs w:val="22"/>
        </w:rPr>
        <w:t xml:space="preserve">l’organe de révision externe, composé d’au moins un membre du Comité de Coordination de la Decidim Free Software Association ;</w:t>
      </w:r>
    </w:p>
    <w:p>
      <w:pPr>
        <w:spacing w:after="60" w:before="60"/>
        <w:ind w:left="360"/>
      </w:pPr>
      <w:r>
        <w:rPr>
          <w:rFonts w:ascii="Barlow" w:cs="Barlow" w:eastAsia="Barlow" w:hAnsi="Barlow"/>
          <w:b/>
          <w:bCs/>
          <w:sz w:val="22"/>
          <w:szCs w:val="22"/>
        </w:rPr>
        <w:t xml:space="preserve">11.d </w:t>
      </w:r>
      <w:r>
        <w:rPr>
          <w:rFonts w:ascii="Barlow" w:cs="Barlow" w:eastAsia="Barlow" w:hAnsi="Barlow"/>
          <w:sz w:val="22"/>
          <w:szCs w:val="22"/>
        </w:rPr>
        <w:t xml:space="preserve">le Secrétariat (facultatif, peut être mis en place en cas de besoin).</w:t>
      </w:r>
    </w:p>
    <w:p>
      <w:pPr>
        <w:spacing w:after="80" w:before="80"/>
      </w:pPr>
      <w:r>
        <w:rPr>
          <w:rFonts w:ascii="Barlow" w:cs="Barlow" w:eastAsia="Barlow" w:hAnsi="Barlow"/>
          <w:sz w:val="22"/>
          <w:szCs w:val="22"/>
        </w:rPr>
        <w:t xml:space="preserve">L’Assemblée générale peut désigner des groupes de travail supplémentaires.</w:t>
      </w:r>
    </w:p>
    <w:p>
      <w:pPr>
        <w:pStyle w:val="Heading1"/>
        <w:spacing w:after="140" w:before="320"/>
      </w:pPr>
      <w:r>
        <w:rPr>
          <w:rFonts w:ascii="Barlow" w:cs="Barlow" w:eastAsia="Barlow" w:hAnsi="Barlow"/>
          <w:b/>
          <w:bCs/>
          <w:color w:val="E11A27"/>
          <w:sz w:val="28"/>
          <w:szCs w:val="28"/>
        </w:rPr>
        <w:t xml:space="preserve">IV. L’Assemblée générale</w:t>
      </w:r>
    </w:p>
    <w:p>
      <w:pPr>
        <w:pStyle w:val="Heading2"/>
        <w:spacing w:after="120" w:before="240"/>
      </w:pPr>
      <w:r>
        <w:rPr>
          <w:rFonts w:ascii="Barlow" w:cs="Barlow" w:eastAsia="Barlow" w:hAnsi="Barlow"/>
          <w:b/>
          <w:bCs/>
          <w:color w:val="000000"/>
          <w:sz w:val="24"/>
          <w:szCs w:val="24"/>
        </w:rPr>
        <w:t xml:space="preserve">Article 12 – Principes</w:t>
      </w:r>
    </w:p>
    <w:p>
      <w:pPr>
        <w:spacing w:after="80" w:before="80"/>
      </w:pPr>
      <w:r>
        <w:rPr>
          <w:rFonts w:ascii="Barlow" w:cs="Barlow" w:eastAsia="Barlow" w:hAnsi="Barlow"/>
          <w:sz w:val="22"/>
          <w:szCs w:val="22"/>
        </w:rPr>
        <w:t xml:space="preserve">L’Assemblée générale est l’autorité suprême de l’Association au sens des art. 64 ss CC.</w:t>
      </w:r>
    </w:p>
    <w:p>
      <w:pPr>
        <w:spacing w:after="80" w:before="80"/>
      </w:pPr>
      <w:r>
        <w:rPr>
          <w:rFonts w:ascii="Barlow" w:cs="Barlow" w:eastAsia="Barlow" w:hAnsi="Barlow"/>
          <w:sz w:val="22"/>
          <w:szCs w:val="22"/>
        </w:rPr>
        <w:t xml:space="preserve">Elle est composée de tous les Membres.</w:t>
      </w:r>
    </w:p>
    <w:p>
      <w:pPr>
        <w:pStyle w:val="Heading2"/>
        <w:spacing w:after="120" w:before="240"/>
      </w:pPr>
      <w:r>
        <w:rPr>
          <w:rFonts w:ascii="Barlow" w:cs="Barlow" w:eastAsia="Barlow" w:hAnsi="Barlow"/>
          <w:b/>
          <w:bCs/>
          <w:color w:val="000000"/>
          <w:sz w:val="24"/>
          <w:szCs w:val="24"/>
        </w:rPr>
        <w:t xml:space="preserve">Article 13 – Compétences</w:t>
      </w:r>
    </w:p>
    <w:p>
      <w:pPr>
        <w:spacing w:after="80" w:before="80"/>
      </w:pPr>
      <w:r>
        <w:rPr>
          <w:rFonts w:ascii="Barlow" w:cs="Barlow" w:eastAsia="Barlow" w:hAnsi="Barlow"/>
          <w:sz w:val="22"/>
          <w:szCs w:val="22"/>
        </w:rPr>
        <w:t xml:space="preserve">L’Assemblée générale délègue au Comité le pouvoir d’administrer et de représenter l’Association.</w:t>
      </w:r>
    </w:p>
    <w:p>
      <w:pPr>
        <w:spacing w:after="80" w:before="80"/>
      </w:pPr>
      <w:r>
        <w:rPr>
          <w:rFonts w:ascii="Barlow" w:cs="Barlow" w:eastAsia="Barlow" w:hAnsi="Barlow"/>
          <w:sz w:val="22"/>
          <w:szCs w:val="22"/>
        </w:rPr>
        <w:t xml:space="preserve">Demeurent inaliénablement de la compétence de l’Assemblée générale :</w:t>
      </w:r>
    </w:p>
    <w:p>
      <w:pPr>
        <w:spacing w:after="60" w:before="60"/>
        <w:ind w:left="360"/>
      </w:pPr>
      <w:r>
        <w:rPr>
          <w:rFonts w:ascii="Barlow" w:cs="Barlow" w:eastAsia="Barlow" w:hAnsi="Barlow"/>
          <w:b/>
          <w:bCs/>
          <w:sz w:val="22"/>
          <w:szCs w:val="22"/>
        </w:rPr>
        <w:t xml:space="preserve">13.a </w:t>
      </w:r>
      <w:r>
        <w:rPr>
          <w:rFonts w:ascii="Barlow" w:cs="Barlow" w:eastAsia="Barlow" w:hAnsi="Barlow"/>
          <w:sz w:val="22"/>
          <w:szCs w:val="22"/>
        </w:rPr>
        <w:t xml:space="preserve">l’adoption et la modification des présents statuts ;</w:t>
      </w:r>
    </w:p>
    <w:p>
      <w:pPr>
        <w:spacing w:after="60" w:before="60"/>
        <w:ind w:left="360"/>
      </w:pPr>
      <w:r>
        <w:rPr>
          <w:rFonts w:ascii="Barlow" w:cs="Barlow" w:eastAsia="Barlow" w:hAnsi="Barlow"/>
          <w:b/>
          <w:bCs/>
          <w:sz w:val="22"/>
          <w:szCs w:val="22"/>
        </w:rPr>
        <w:t xml:space="preserve">13.c </w:t>
      </w:r>
      <w:r>
        <w:rPr>
          <w:rFonts w:ascii="Barlow" w:cs="Barlow" w:eastAsia="Barlow" w:hAnsi="Barlow"/>
          <w:sz w:val="22"/>
          <w:szCs w:val="22"/>
        </w:rPr>
        <w:t xml:space="preserve">la nomination, la surveillance et la révocation de l’organe de révision externe ;</w:t>
      </w:r>
    </w:p>
    <w:p>
      <w:pPr>
        <w:spacing w:after="60" w:before="60"/>
        <w:ind w:left="360"/>
      </w:pPr>
      <w:r>
        <w:rPr>
          <w:rFonts w:ascii="Barlow" w:cs="Barlow" w:eastAsia="Barlow" w:hAnsi="Barlow"/>
          <w:b/>
          <w:bCs/>
          <w:sz w:val="22"/>
          <w:szCs w:val="22"/>
        </w:rPr>
        <w:t xml:space="preserve">13.b </w:t>
      </w:r>
      <w:r>
        <w:rPr>
          <w:rFonts w:ascii="Barlow" w:cs="Barlow" w:eastAsia="Barlow" w:hAnsi="Barlow"/>
          <w:sz w:val="22"/>
          <w:szCs w:val="22"/>
        </w:rPr>
        <w:t xml:space="preserve">l’approbation des rapports annuels et des comptes révisés ;</w:t>
      </w:r>
    </w:p>
    <w:p>
      <w:pPr>
        <w:spacing w:after="60" w:before="60"/>
        <w:ind w:left="360"/>
      </w:pPr>
      <w:r>
        <w:rPr>
          <w:rFonts w:ascii="Barlow" w:cs="Barlow" w:eastAsia="Barlow" w:hAnsi="Barlow"/>
          <w:b/>
          <w:bCs/>
          <w:sz w:val="22"/>
          <w:szCs w:val="22"/>
        </w:rPr>
        <w:t xml:space="preserve">13.d </w:t>
      </w:r>
      <w:r>
        <w:rPr>
          <w:rFonts w:ascii="Barlow" w:cs="Barlow" w:eastAsia="Barlow" w:hAnsi="Barlow"/>
          <w:sz w:val="22"/>
          <w:szCs w:val="22"/>
        </w:rPr>
        <w:t xml:space="preserve">l’admission et l’exclusion des Membres ;</w:t>
      </w:r>
    </w:p>
    <w:p>
      <w:pPr>
        <w:spacing w:after="60" w:before="60"/>
        <w:ind w:left="360"/>
      </w:pPr>
      <w:r>
        <w:rPr>
          <w:rFonts w:ascii="Barlow" w:cs="Barlow" w:eastAsia="Barlow" w:hAnsi="Barlow"/>
          <w:b/>
          <w:bCs/>
          <w:sz w:val="22"/>
          <w:szCs w:val="22"/>
        </w:rPr>
        <w:t xml:space="preserve">13.e </w:t>
      </w:r>
      <w:r>
        <w:rPr>
          <w:rFonts w:ascii="Barlow" w:cs="Barlow" w:eastAsia="Barlow" w:hAnsi="Barlow"/>
          <w:sz w:val="22"/>
          <w:szCs w:val="22"/>
        </w:rPr>
        <w:t xml:space="preserve">la nomination, l’élection, la décharge et la révocation des membres du Comité ;</w:t>
      </w:r>
    </w:p>
    <w:p>
      <w:pPr>
        <w:spacing w:after="60" w:before="60"/>
        <w:ind w:left="360"/>
      </w:pPr>
      <w:r>
        <w:rPr>
          <w:rFonts w:ascii="Barlow" w:cs="Barlow" w:eastAsia="Barlow" w:hAnsi="Barlow"/>
          <w:b/>
          <w:bCs/>
          <w:sz w:val="22"/>
          <w:szCs w:val="22"/>
        </w:rPr>
        <w:t xml:space="preserve">13.f </w:t>
      </w:r>
      <w:r>
        <w:rPr>
          <w:rFonts w:ascii="Barlow" w:cs="Barlow" w:eastAsia="Barlow" w:hAnsi="Barlow"/>
          <w:sz w:val="22"/>
          <w:szCs w:val="22"/>
        </w:rPr>
        <w:t xml:space="preserve">la décision relative à la dissolution ou à la fusion de l’Association et à l’utilisation du produit de la liquidation ;</w:t>
      </w:r>
    </w:p>
    <w:p>
      <w:pPr>
        <w:spacing w:after="60" w:before="60"/>
        <w:ind w:left="360"/>
      </w:pPr>
      <w:r>
        <w:rPr>
          <w:rFonts w:ascii="Barlow" w:cs="Barlow" w:eastAsia="Barlow" w:hAnsi="Barlow"/>
          <w:b/>
          <w:bCs/>
          <w:sz w:val="22"/>
          <w:szCs w:val="22"/>
        </w:rPr>
        <w:t xml:space="preserve">13.g </w:t>
      </w:r>
      <w:r>
        <w:rPr>
          <w:rFonts w:ascii="Barlow" w:cs="Barlow" w:eastAsia="Barlow" w:hAnsi="Barlow"/>
          <w:sz w:val="22"/>
          <w:szCs w:val="22"/>
        </w:rPr>
        <w:t xml:space="preserve">la gestion de toutes les questions qui ne relèvent pas d’un autre organe ;</w:t>
      </w:r>
    </w:p>
    <w:p>
      <w:pPr>
        <w:spacing w:after="60" w:before="60"/>
        <w:ind w:left="360"/>
      </w:pPr>
      <w:r>
        <w:rPr>
          <w:rFonts w:ascii="Barlow" w:cs="Barlow" w:eastAsia="Barlow" w:hAnsi="Barlow"/>
          <w:b/>
          <w:bCs/>
          <w:sz w:val="22"/>
          <w:szCs w:val="22"/>
        </w:rPr>
        <w:t xml:space="preserve">13.h </w:t>
      </w:r>
      <w:r>
        <w:rPr>
          <w:rFonts w:ascii="Barlow" w:cs="Barlow" w:eastAsia="Barlow" w:hAnsi="Barlow"/>
          <w:sz w:val="22"/>
          <w:szCs w:val="22"/>
        </w:rPr>
        <w:t xml:space="preserve">la création et la dissolution de groupes thématiques ainsi que la définition de leur degré d’autonomie.</w:t>
      </w:r>
    </w:p>
    <w:p>
      <w:pPr>
        <w:pStyle w:val="Heading2"/>
        <w:spacing w:after="120" w:before="240"/>
      </w:pPr>
      <w:r>
        <w:rPr>
          <w:rFonts w:ascii="Barlow" w:cs="Barlow" w:eastAsia="Barlow" w:hAnsi="Barlow"/>
          <w:b/>
          <w:bCs/>
          <w:color w:val="000000"/>
          <w:sz w:val="24"/>
          <w:szCs w:val="24"/>
        </w:rPr>
        <w:t xml:space="preserve">Article 14 – Réunions</w:t>
      </w:r>
    </w:p>
    <w:p>
      <w:pPr>
        <w:spacing w:after="60" w:before="60"/>
        <w:ind w:left="360"/>
      </w:pPr>
      <w:r>
        <w:rPr>
          <w:rFonts w:ascii="Barlow" w:cs="Barlow" w:eastAsia="Barlow" w:hAnsi="Barlow"/>
          <w:b/>
          <w:bCs/>
          <w:sz w:val="22"/>
          <w:szCs w:val="22"/>
        </w:rPr>
        <w:t xml:space="preserve">14.a </w:t>
      </w:r>
      <w:r>
        <w:rPr>
          <w:rFonts w:ascii="Barlow" w:cs="Barlow" w:eastAsia="Barlow" w:hAnsi="Barlow"/>
          <w:sz w:val="22"/>
          <w:szCs w:val="22"/>
        </w:rPr>
        <w:t xml:space="preserve">Assemblée générale ordinaire. L’Assemblée générale ordinaire se tient au moins une fois par an.</w:t>
      </w:r>
    </w:p>
    <w:p>
      <w:pPr>
        <w:spacing w:after="60" w:before="60"/>
        <w:ind w:left="360"/>
      </w:pPr>
      <w:r>
        <w:rPr>
          <w:rFonts w:ascii="Barlow" w:cs="Barlow" w:eastAsia="Barlow" w:hAnsi="Barlow"/>
          <w:b/>
          <w:bCs/>
          <w:sz w:val="22"/>
          <w:szCs w:val="22"/>
        </w:rPr>
        <w:t xml:space="preserve">14.b </w:t>
      </w:r>
      <w:r>
        <w:rPr>
          <w:rFonts w:ascii="Barlow" w:cs="Barlow" w:eastAsia="Barlow" w:hAnsi="Barlow"/>
          <w:sz w:val="22"/>
          <w:szCs w:val="22"/>
        </w:rPr>
        <w:t xml:space="preserve">Assemblée générale extraordinaire. Des Assemblées générales extraordinaires peuvent être convoquées par le Comité ou à la demande d’au moins 20 % de tous les Membres, conformément à l’art. 64 al. 3 CC.</w:t>
      </w:r>
    </w:p>
    <w:p>
      <w:pPr>
        <w:spacing w:after="60" w:before="60"/>
        <w:ind w:left="360"/>
      </w:pPr>
      <w:r>
        <w:rPr>
          <w:rFonts w:ascii="Barlow" w:cs="Barlow" w:eastAsia="Barlow" w:hAnsi="Barlow"/>
          <w:b/>
          <w:bCs/>
          <w:sz w:val="22"/>
          <w:szCs w:val="22"/>
        </w:rPr>
        <w:t xml:space="preserve">14.c </w:t>
      </w:r>
      <w:r>
        <w:rPr>
          <w:rFonts w:ascii="Barlow" w:cs="Barlow" w:eastAsia="Barlow" w:hAnsi="Barlow"/>
          <w:sz w:val="22"/>
          <w:szCs w:val="22"/>
        </w:rPr>
        <w:t xml:space="preserve">Convocation. Le Comité convoque les Assemblées générales avec un préavis d’un mois. L’ordre du jour doit être envoyé avec les convocations.</w:t>
      </w:r>
    </w:p>
    <w:p>
      <w:pPr>
        <w:spacing w:after="60" w:before="60"/>
        <w:ind w:left="360"/>
      </w:pPr>
      <w:r>
        <w:rPr>
          <w:rFonts w:ascii="Barlow" w:cs="Barlow" w:eastAsia="Barlow" w:hAnsi="Barlow"/>
          <w:b/>
          <w:bCs/>
          <w:sz w:val="22"/>
          <w:szCs w:val="22"/>
        </w:rPr>
        <w:t xml:space="preserve">14.d </w:t>
      </w:r>
      <w:r>
        <w:rPr>
          <w:rFonts w:ascii="Barlow" w:cs="Barlow" w:eastAsia="Barlow" w:hAnsi="Barlow"/>
          <w:sz w:val="22"/>
          <w:szCs w:val="22"/>
        </w:rPr>
        <w:t xml:space="preserve">Quorum. L’Assemblée générale est valablement constituée si au moins un cinquième des Membres est présent.</w:t>
      </w:r>
    </w:p>
    <w:p>
      <w:pPr>
        <w:spacing w:after="60" w:before="60"/>
        <w:ind w:left="360"/>
      </w:pPr>
      <w:r>
        <w:rPr>
          <w:rFonts w:ascii="Barlow" w:cs="Barlow" w:eastAsia="Barlow" w:hAnsi="Barlow"/>
          <w:b/>
          <w:bCs/>
          <w:sz w:val="22"/>
          <w:szCs w:val="22"/>
        </w:rPr>
        <w:t xml:space="preserve">14.e </w:t>
      </w:r>
      <w:r>
        <w:rPr>
          <w:rFonts w:ascii="Barlow" w:cs="Barlow" w:eastAsia="Barlow" w:hAnsi="Barlow"/>
          <w:sz w:val="22"/>
          <w:szCs w:val="22"/>
        </w:rPr>
        <w:t xml:space="preserve">Modalités. Les réunions peuvent se tenir soit numériquement, soit sur place.</w:t>
      </w:r>
    </w:p>
    <w:p>
      <w:pPr>
        <w:pStyle w:val="Heading2"/>
        <w:spacing w:after="120" w:before="240"/>
      </w:pPr>
      <w:r>
        <w:rPr>
          <w:rFonts w:ascii="Barlow" w:cs="Barlow" w:eastAsia="Barlow" w:hAnsi="Barlow"/>
          <w:b/>
          <w:bCs/>
          <w:color w:val="000000"/>
          <w:sz w:val="24"/>
          <w:szCs w:val="24"/>
        </w:rPr>
        <w:t xml:space="preserve">Article 15 – Prise de décision et droit de vote</w:t>
      </w:r>
    </w:p>
    <w:p>
      <w:pPr>
        <w:spacing w:after="60" w:before="60"/>
        <w:ind w:left="360"/>
      </w:pPr>
      <w:r>
        <w:rPr>
          <w:rFonts w:ascii="Barlow" w:cs="Barlow" w:eastAsia="Barlow" w:hAnsi="Barlow"/>
          <w:b/>
          <w:bCs/>
          <w:sz w:val="22"/>
          <w:szCs w:val="22"/>
        </w:rPr>
        <w:t xml:space="preserve">15.a </w:t>
      </w:r>
      <w:r>
        <w:rPr>
          <w:rFonts w:ascii="Barlow" w:cs="Barlow" w:eastAsia="Barlow" w:hAnsi="Barlow"/>
          <w:sz w:val="22"/>
          <w:szCs w:val="22"/>
        </w:rPr>
        <w:t xml:space="preserve">Droit de vote. Chaque Membre dispose d’un droit de vote égal à l’Assemblée générale.</w:t>
      </w:r>
    </w:p>
    <w:p>
      <w:pPr>
        <w:spacing w:after="60" w:before="60"/>
        <w:ind w:left="360"/>
      </w:pPr>
      <w:r>
        <w:rPr>
          <w:rFonts w:ascii="Barlow" w:cs="Barlow" w:eastAsia="Barlow" w:hAnsi="Barlow"/>
          <w:b/>
          <w:bCs/>
          <w:sz w:val="22"/>
          <w:szCs w:val="22"/>
        </w:rPr>
        <w:t xml:space="preserve">15.b </w:t>
      </w:r>
      <w:r>
        <w:rPr>
          <w:rFonts w:ascii="Barlow" w:cs="Barlow" w:eastAsia="Barlow" w:hAnsi="Barlow"/>
          <w:sz w:val="22"/>
          <w:szCs w:val="22"/>
        </w:rPr>
        <w:t xml:space="preserve">Procuration. Les Membres peuvent voter en personne ou par procuration.</w:t>
      </w:r>
    </w:p>
    <w:p>
      <w:pPr>
        <w:spacing w:after="60" w:before="60"/>
        <w:ind w:left="360"/>
      </w:pPr>
      <w:r>
        <w:rPr>
          <w:rFonts w:ascii="Barlow" w:cs="Barlow" w:eastAsia="Barlow" w:hAnsi="Barlow"/>
          <w:b/>
          <w:bCs/>
          <w:sz w:val="22"/>
          <w:szCs w:val="22"/>
        </w:rPr>
        <w:t xml:space="preserve">15.c </w:t>
      </w:r>
      <w:r>
        <w:rPr>
          <w:rFonts w:ascii="Barlow" w:cs="Barlow" w:eastAsia="Barlow" w:hAnsi="Barlow"/>
          <w:sz w:val="22"/>
          <w:szCs w:val="22"/>
        </w:rPr>
        <w:t xml:space="preserve">Procédure. Le vote a lieu à main levée ou par voie de vote électronique.</w:t>
      </w:r>
    </w:p>
    <w:p>
      <w:pPr>
        <w:spacing w:after="60" w:before="60"/>
        <w:ind w:left="360"/>
      </w:pPr>
      <w:r>
        <w:rPr>
          <w:rFonts w:ascii="Barlow" w:cs="Barlow" w:eastAsia="Barlow" w:hAnsi="Barlow"/>
          <w:b/>
          <w:bCs/>
          <w:sz w:val="22"/>
          <w:szCs w:val="22"/>
        </w:rPr>
        <w:t xml:space="preserve">15.d </w:t>
      </w:r>
      <w:r>
        <w:rPr>
          <w:rFonts w:ascii="Barlow" w:cs="Barlow" w:eastAsia="Barlow" w:hAnsi="Barlow"/>
          <w:sz w:val="22"/>
          <w:szCs w:val="22"/>
        </w:rPr>
        <w:t xml:space="preserve">Majorité des voix. Les modifications des statuts de l’Association requièrent une majorité des deux tiers de toutes les voix exprimées. Toutes les autres décisions requièrent la majorité simple des voix exprimées (y compris les voix par procuration).</w:t>
      </w:r>
    </w:p>
    <w:p>
      <w:pPr>
        <w:spacing w:after="60" w:before="60"/>
        <w:ind w:left="360"/>
      </w:pPr>
      <w:r>
        <w:rPr>
          <w:rFonts w:ascii="Barlow" w:cs="Barlow" w:eastAsia="Barlow" w:hAnsi="Barlow"/>
          <w:b/>
          <w:bCs/>
          <w:sz w:val="22"/>
          <w:szCs w:val="22"/>
        </w:rPr>
        <w:t xml:space="preserve">15.e </w:t>
      </w:r>
      <w:r>
        <w:rPr>
          <w:rFonts w:ascii="Barlow" w:cs="Barlow" w:eastAsia="Barlow" w:hAnsi="Barlow"/>
          <w:sz w:val="22"/>
          <w:szCs w:val="22"/>
        </w:rPr>
        <w:t xml:space="preserve">Conflit d’intérêts. Conformément à l’art. 68 CC, un Membre ne peut pas voter sur des décisions relatives à une affaire ou à une procédure judiciaire concernant l’Association lorsque lui-même, son conjoint, ses parents ou ses parents en ligne directe sont partie à l’affaire.</w:t>
      </w:r>
    </w:p>
    <w:p>
      <w:pPr>
        <w:pStyle w:val="Heading1"/>
        <w:spacing w:after="140" w:before="320"/>
      </w:pPr>
      <w:r>
        <w:rPr>
          <w:rFonts w:ascii="Barlow" w:cs="Barlow" w:eastAsia="Barlow" w:hAnsi="Barlow"/>
          <w:b/>
          <w:bCs/>
          <w:color w:val="E11A27"/>
          <w:sz w:val="28"/>
          <w:szCs w:val="28"/>
        </w:rPr>
        <w:t xml:space="preserve">V. Le Comité</w:t>
      </w:r>
    </w:p>
    <w:p>
      <w:pPr>
        <w:pStyle w:val="Heading2"/>
        <w:spacing w:after="120" w:before="240"/>
      </w:pPr>
      <w:r>
        <w:rPr>
          <w:rFonts w:ascii="Barlow" w:cs="Barlow" w:eastAsia="Barlow" w:hAnsi="Barlow"/>
          <w:b/>
          <w:bCs/>
          <w:color w:val="000000"/>
          <w:sz w:val="24"/>
          <w:szCs w:val="24"/>
        </w:rPr>
        <w:t xml:space="preserve">Article 16 – Principes</w:t>
      </w:r>
    </w:p>
    <w:p>
      <w:pPr>
        <w:spacing w:after="60" w:before="60"/>
        <w:ind w:left="360"/>
      </w:pPr>
      <w:r>
        <w:rPr>
          <w:rFonts w:ascii="Barlow" w:cs="Barlow" w:eastAsia="Barlow" w:hAnsi="Barlow"/>
          <w:b/>
          <w:bCs/>
          <w:sz w:val="22"/>
          <w:szCs w:val="22"/>
        </w:rPr>
        <w:t xml:space="preserve">16.a </w:t>
      </w:r>
      <w:r>
        <w:rPr>
          <w:rFonts w:ascii="Barlow" w:cs="Barlow" w:eastAsia="Barlow" w:hAnsi="Barlow"/>
          <w:sz w:val="22"/>
          <w:szCs w:val="22"/>
        </w:rPr>
        <w:t xml:space="preserve">Le Comité est l’organe exécutif de l’Association. Il a le droit et le devoir de gérer les affaires de l’Association et de la représenter conformément aux statuts (art. 69 CC). En particulier :</w:t>
      </w:r>
    </w:p>
    <w:p>
      <w:pPr>
        <w:pStyle w:val="ListParagraph"/>
        <w:numPr>
          <w:ilvl w:val="0"/>
          <w:numId w:val="3"/>
        </w:numPr>
        <w:spacing w:after="40" w:before="40"/>
      </w:pPr>
      <w:r>
        <w:rPr>
          <w:rFonts w:ascii="Barlow" w:cs="Barlow" w:eastAsia="Barlow" w:hAnsi="Barlow"/>
          <w:sz w:val="22"/>
          <w:szCs w:val="22"/>
        </w:rPr>
        <w:t xml:space="preserve">le Comité prend toutes les mesures nécessaires pour atteindre les buts de l’Association,</w:t>
      </w:r>
    </w:p>
    <w:p>
      <w:pPr>
        <w:pStyle w:val="ListParagraph"/>
        <w:numPr>
          <w:ilvl w:val="0"/>
          <w:numId w:val="3"/>
        </w:numPr>
        <w:spacing w:after="40" w:before="40"/>
      </w:pPr>
      <w:r>
        <w:rPr>
          <w:rFonts w:ascii="Barlow" w:cs="Barlow" w:eastAsia="Barlow" w:hAnsi="Barlow"/>
          <w:sz w:val="22"/>
          <w:szCs w:val="22"/>
        </w:rPr>
        <w:t xml:space="preserve">veille à la correcte application des présents statuts et de tout autre règlement interne,</w:t>
      </w:r>
    </w:p>
    <w:p>
      <w:pPr>
        <w:pStyle w:val="ListParagraph"/>
        <w:numPr>
          <w:ilvl w:val="0"/>
          <w:numId w:val="3"/>
        </w:numPr>
        <w:spacing w:after="40" w:before="40"/>
      </w:pPr>
      <w:r>
        <w:rPr>
          <w:rFonts w:ascii="Barlow" w:cs="Barlow" w:eastAsia="Barlow" w:hAnsi="Barlow"/>
          <w:sz w:val="22"/>
          <w:szCs w:val="22"/>
        </w:rPr>
        <w:t xml:space="preserve">administre les biens, les actifs et les ressources de l’Association,</w:t>
      </w:r>
    </w:p>
    <w:p>
      <w:pPr>
        <w:pStyle w:val="ListParagraph"/>
        <w:numPr>
          <w:ilvl w:val="0"/>
          <w:numId w:val="3"/>
        </w:numPr>
        <w:spacing w:after="40" w:before="40"/>
      </w:pPr>
      <w:r>
        <w:rPr>
          <w:rFonts w:ascii="Barlow" w:cs="Barlow" w:eastAsia="Barlow" w:hAnsi="Barlow"/>
          <w:sz w:val="22"/>
          <w:szCs w:val="22"/>
        </w:rPr>
        <w:t xml:space="preserve">tient la comptabilité,</w:t>
      </w:r>
    </w:p>
    <w:p>
      <w:pPr>
        <w:pStyle w:val="ListParagraph"/>
        <w:numPr>
          <w:ilvl w:val="0"/>
          <w:numId w:val="3"/>
        </w:numPr>
        <w:spacing w:after="40" w:before="40"/>
      </w:pPr>
      <w:r>
        <w:rPr>
          <w:rFonts w:ascii="Barlow" w:cs="Barlow" w:eastAsia="Barlow" w:hAnsi="Barlow"/>
          <w:sz w:val="22"/>
          <w:szCs w:val="22"/>
        </w:rPr>
        <w:t xml:space="preserve">édicte des règlements internes,</w:t>
      </w:r>
    </w:p>
    <w:p>
      <w:pPr>
        <w:pStyle w:val="ListParagraph"/>
        <w:numPr>
          <w:ilvl w:val="0"/>
          <w:numId w:val="3"/>
        </w:numPr>
        <w:spacing w:after="40" w:before="40"/>
      </w:pPr>
      <w:r>
        <w:rPr>
          <w:rFonts w:ascii="Barlow" w:cs="Barlow" w:eastAsia="Barlow" w:hAnsi="Barlow"/>
          <w:sz w:val="22"/>
          <w:szCs w:val="22"/>
        </w:rPr>
        <w:t xml:space="preserve">peut engager ou mandater des personnes contre une rémunération raisonnable pour atteindre les objectifs de l’Association,</w:t>
      </w:r>
    </w:p>
    <w:p>
      <w:pPr>
        <w:pStyle w:val="ListParagraph"/>
        <w:numPr>
          <w:ilvl w:val="0"/>
          <w:numId w:val="3"/>
        </w:numPr>
        <w:spacing w:after="40" w:before="40"/>
      </w:pPr>
      <w:r>
        <w:rPr>
          <w:rFonts w:ascii="Barlow" w:cs="Barlow" w:eastAsia="Barlow" w:hAnsi="Barlow"/>
          <w:sz w:val="22"/>
          <w:szCs w:val="22"/>
        </w:rPr>
        <w:t xml:space="preserve">supervise le Secrétariat (le cas échéant),</w:t>
      </w:r>
    </w:p>
    <w:p>
      <w:pPr>
        <w:pStyle w:val="ListParagraph"/>
        <w:numPr>
          <w:ilvl w:val="0"/>
          <w:numId w:val="3"/>
        </w:numPr>
        <w:spacing w:after="40" w:before="40"/>
      </w:pPr>
      <w:r>
        <w:rPr>
          <w:rFonts w:ascii="Barlow" w:cs="Barlow" w:eastAsia="Barlow" w:hAnsi="Barlow"/>
          <w:sz w:val="22"/>
          <w:szCs w:val="22"/>
        </w:rPr>
        <w:t xml:space="preserve">et convoque et organise l’Assemblée générale.</w:t>
      </w:r>
    </w:p>
    <w:p>
      <w:pPr>
        <w:spacing w:after="60" w:before="60"/>
        <w:ind w:left="360"/>
      </w:pPr>
      <w:r>
        <w:rPr>
          <w:rFonts w:ascii="Barlow" w:cs="Barlow" w:eastAsia="Barlow" w:hAnsi="Barlow"/>
          <w:b/>
          <w:bCs/>
          <w:sz w:val="22"/>
          <w:szCs w:val="22"/>
        </w:rPr>
        <w:t xml:space="preserve">16.b </w:t>
      </w:r>
      <w:r>
        <w:rPr>
          <w:rFonts w:ascii="Barlow" w:cs="Barlow" w:eastAsia="Barlow" w:hAnsi="Barlow"/>
          <w:sz w:val="22"/>
          <w:szCs w:val="22"/>
        </w:rPr>
        <w:t xml:space="preserve">Les membres du Comité agissent à titre bénévole, à l’exception du remboursement de leurs frais effectifs et frais de déplacement.</w:t>
      </w:r>
    </w:p>
    <w:p>
      <w:pPr>
        <w:spacing w:after="60" w:before="60"/>
        <w:ind w:left="360"/>
      </w:pPr>
      <w:r>
        <w:rPr>
          <w:rFonts w:ascii="Barlow" w:cs="Barlow" w:eastAsia="Barlow" w:hAnsi="Barlow"/>
          <w:b/>
          <w:bCs/>
          <w:sz w:val="22"/>
          <w:szCs w:val="22"/>
        </w:rPr>
        <w:t xml:space="preserve">16.c </w:t>
      </w:r>
      <w:r>
        <w:rPr>
          <w:rFonts w:ascii="Barlow" w:cs="Barlow" w:eastAsia="Barlow" w:hAnsi="Barlow"/>
          <w:sz w:val="22"/>
          <w:szCs w:val="22"/>
        </w:rPr>
        <w:t xml:space="preserve">Le Comité se réunit aussi souvent que les affaires l’exigent. Tout membre du Comité peut demander la convocation d’une séance en en indiquant les motifs. Pour autant qu’aucun membre du Comité ne demande une délibération orale, les décisions peuvent également être valablement prises par voie de circulation (y compris par courrier électronique).</w:t>
      </w:r>
    </w:p>
    <w:p>
      <w:pPr>
        <w:pStyle w:val="Heading2"/>
        <w:spacing w:after="120" w:before="240"/>
      </w:pPr>
      <w:r>
        <w:rPr>
          <w:rFonts w:ascii="Barlow" w:cs="Barlow" w:eastAsia="Barlow" w:hAnsi="Barlow"/>
          <w:b/>
          <w:bCs/>
          <w:color w:val="000000"/>
          <w:sz w:val="24"/>
          <w:szCs w:val="24"/>
        </w:rPr>
        <w:t xml:space="preserve">Article 17 – Composition</w:t>
      </w:r>
    </w:p>
    <w:p>
      <w:pPr>
        <w:spacing w:after="80" w:before="80"/>
      </w:pPr>
      <w:r>
        <w:rPr>
          <w:rFonts w:ascii="Barlow" w:cs="Barlow" w:eastAsia="Barlow" w:hAnsi="Barlow"/>
          <w:sz w:val="22"/>
          <w:szCs w:val="22"/>
        </w:rPr>
        <w:t xml:space="preserve">Le Comité est composé d’au moins 3 et d’au plus 7 membres.</w:t>
      </w:r>
    </w:p>
    <w:p>
      <w:pPr>
        <w:spacing w:after="80" w:before="80"/>
      </w:pPr>
      <w:r>
        <w:rPr>
          <w:rFonts w:ascii="Barlow" w:cs="Barlow" w:eastAsia="Barlow" w:hAnsi="Barlow"/>
          <w:sz w:val="22"/>
          <w:szCs w:val="22"/>
        </w:rPr>
        <w:t xml:space="preserve">Le Comité désigne parmi ses membres les fonctions qu’il juge nécessaires.</w:t>
      </w:r>
    </w:p>
    <w:p>
      <w:pPr>
        <w:pStyle w:val="Heading2"/>
        <w:spacing w:after="120" w:before="240"/>
      </w:pPr>
      <w:r>
        <w:rPr>
          <w:rFonts w:ascii="Barlow" w:cs="Barlow" w:eastAsia="Barlow" w:hAnsi="Barlow"/>
          <w:b/>
          <w:bCs/>
          <w:color w:val="000000"/>
          <w:sz w:val="24"/>
          <w:szCs w:val="24"/>
        </w:rPr>
        <w:t xml:space="preserve">Article 18 – Durée du mandat</w:t>
      </w:r>
    </w:p>
    <w:p>
      <w:pPr>
        <w:spacing w:after="80" w:before="80"/>
      </w:pPr>
      <w:r>
        <w:rPr>
          <w:rFonts w:ascii="Barlow" w:cs="Barlow" w:eastAsia="Barlow" w:hAnsi="Barlow"/>
          <w:sz w:val="22"/>
          <w:szCs w:val="22"/>
        </w:rPr>
        <w:t xml:space="preserve">Les membres du Comité sont élus pour un mandat d’un an. La réélection est possible.</w:t>
      </w:r>
    </w:p>
    <w:p>
      <w:pPr>
        <w:pStyle w:val="Heading2"/>
        <w:spacing w:after="120" w:before="240"/>
      </w:pPr>
      <w:r>
        <w:rPr>
          <w:rFonts w:ascii="Barlow" w:cs="Barlow" w:eastAsia="Barlow" w:hAnsi="Barlow"/>
          <w:b/>
          <w:bCs/>
          <w:color w:val="000000"/>
          <w:sz w:val="24"/>
          <w:szCs w:val="24"/>
        </w:rPr>
        <w:t xml:space="preserve">Article 19 – Droit de signature</w:t>
      </w:r>
    </w:p>
    <w:p>
      <w:pPr>
        <w:spacing w:after="80" w:before="80"/>
      </w:pPr>
      <w:r>
        <w:rPr>
          <w:rFonts w:ascii="Barlow" w:cs="Barlow" w:eastAsia="Barlow" w:hAnsi="Barlow"/>
          <w:sz w:val="22"/>
          <w:szCs w:val="22"/>
        </w:rPr>
        <w:t xml:space="preserve">Le Comité règle le droit de signature collective à deux.</w:t>
      </w:r>
    </w:p>
    <w:p>
      <w:pPr>
        <w:pStyle w:val="Heading2"/>
        <w:spacing w:after="120" w:before="240"/>
      </w:pPr>
      <w:r>
        <w:rPr>
          <w:rFonts w:ascii="Barlow" w:cs="Barlow" w:eastAsia="Barlow" w:hAnsi="Barlow"/>
          <w:b/>
          <w:bCs/>
          <w:color w:val="000000"/>
          <w:sz w:val="24"/>
          <w:szCs w:val="24"/>
        </w:rPr>
        <w:t xml:space="preserve">Article 20 – Révocation et démission</w:t>
      </w:r>
    </w:p>
    <w:p>
      <w:pPr>
        <w:spacing w:after="60" w:before="60"/>
        <w:ind w:left="360"/>
      </w:pPr>
      <w:r>
        <w:rPr>
          <w:rFonts w:ascii="Barlow" w:cs="Barlow" w:eastAsia="Barlow" w:hAnsi="Barlow"/>
          <w:b/>
          <w:bCs/>
          <w:sz w:val="22"/>
          <w:szCs w:val="22"/>
        </w:rPr>
        <w:t xml:space="preserve">20.a </w:t>
      </w:r>
      <w:r>
        <w:rPr>
          <w:rFonts w:ascii="Barlow" w:cs="Barlow" w:eastAsia="Barlow" w:hAnsi="Barlow"/>
          <w:sz w:val="22"/>
          <w:szCs w:val="22"/>
        </w:rPr>
        <w:t xml:space="preserve">Révocation. Les membres du Comité peuvent être révoqués par l’Assemblée générale pour de justes motifs, en particulier lorsqu’un membre du Comité a violé ses obligations envers l’Association ou n’est pas en mesure d’exercer correctement ses fonctions.</w:t>
      </w:r>
    </w:p>
    <w:p>
      <w:pPr>
        <w:spacing w:after="60" w:before="60"/>
        <w:ind w:left="360"/>
      </w:pPr>
      <w:r>
        <w:rPr>
          <w:rFonts w:ascii="Barlow" w:cs="Barlow" w:eastAsia="Barlow" w:hAnsi="Barlow"/>
          <w:b/>
          <w:bCs/>
          <w:sz w:val="22"/>
          <w:szCs w:val="22"/>
        </w:rPr>
        <w:t xml:space="preserve">20.b </w:t>
      </w:r>
      <w:r>
        <w:rPr>
          <w:rFonts w:ascii="Barlow" w:cs="Barlow" w:eastAsia="Barlow" w:hAnsi="Barlow"/>
          <w:sz w:val="22"/>
          <w:szCs w:val="22"/>
        </w:rPr>
        <w:t xml:space="preserve">Démission. Les membres du Comité peuvent démissionner en tout temps en remettant une déclaration écrite au Comité et en précisant la date à laquelle la démission prend effet.</w:t>
      </w:r>
    </w:p>
    <w:p>
      <w:pPr>
        <w:pStyle w:val="Heading1"/>
        <w:spacing w:after="140" w:before="320"/>
      </w:pPr>
      <w:r>
        <w:rPr>
          <w:rFonts w:ascii="Barlow" w:cs="Barlow" w:eastAsia="Barlow" w:hAnsi="Barlow"/>
          <w:b/>
          <w:bCs/>
          <w:color w:val="E11A27"/>
          <w:sz w:val="28"/>
          <w:szCs w:val="28"/>
        </w:rPr>
        <w:t xml:space="preserve">VI. Dispositions diverses et finales</w:t>
      </w:r>
    </w:p>
    <w:p>
      <w:pPr>
        <w:pStyle w:val="Heading2"/>
        <w:spacing w:after="120" w:before="240"/>
      </w:pPr>
      <w:r>
        <w:rPr>
          <w:rFonts w:ascii="Barlow" w:cs="Barlow" w:eastAsia="Barlow" w:hAnsi="Barlow"/>
          <w:b/>
          <w:bCs/>
          <w:color w:val="000000"/>
          <w:sz w:val="24"/>
          <w:szCs w:val="24"/>
        </w:rPr>
        <w:t xml:space="preserve">Article 21 – Organe de révision externe</w:t>
      </w:r>
    </w:p>
    <w:p>
      <w:pPr>
        <w:spacing w:after="80" w:before="80"/>
      </w:pPr>
      <w:r>
        <w:rPr>
          <w:rFonts w:ascii="Barlow" w:cs="Barlow" w:eastAsia="Barlow" w:hAnsi="Barlow"/>
          <w:sz w:val="22"/>
          <w:szCs w:val="22"/>
        </w:rPr>
        <w:t xml:space="preserve">Organe obligatoire. L’Assemblée générale nomme l’organe de révision externe chargé (i) de vérifier les comptes annuels de l’Association et de présenter un rapport détaillé à l’Assemblée générale et (ii) de veiller au respect des règles statutaires de l’Association (statuts et règlements internes).</w:t>
      </w:r>
    </w:p>
    <w:p>
      <w:pPr>
        <w:spacing w:after="80" w:before="80"/>
      </w:pPr>
      <w:r>
        <w:rPr>
          <w:rFonts w:ascii="Barlow" w:cs="Barlow" w:eastAsia="Barlow" w:hAnsi="Barlow"/>
          <w:sz w:val="22"/>
          <w:szCs w:val="22"/>
        </w:rPr>
        <w:t xml:space="preserve">Au moins un membre de l’organe de révision externe doit être membre du Comité de Coordination de la Decidim Free Software Association.</w:t>
      </w:r>
    </w:p>
    <w:p>
      <w:pPr>
        <w:pStyle w:val="Heading2"/>
        <w:spacing w:after="120" w:before="240"/>
      </w:pPr>
      <w:r>
        <w:rPr>
          <w:rFonts w:ascii="Barlow" w:cs="Barlow" w:eastAsia="Barlow" w:hAnsi="Barlow"/>
          <w:b/>
          <w:bCs/>
          <w:color w:val="000000"/>
          <w:sz w:val="24"/>
          <w:szCs w:val="24"/>
        </w:rPr>
        <w:t xml:space="preserve">Article 22 – Tenue des comptes</w:t>
      </w:r>
    </w:p>
    <w:p>
      <w:pPr>
        <w:spacing w:after="60" w:before="60"/>
        <w:ind w:left="360"/>
      </w:pPr>
      <w:r>
        <w:rPr>
          <w:rFonts w:ascii="Barlow" w:cs="Barlow" w:eastAsia="Barlow" w:hAnsi="Barlow"/>
          <w:b/>
          <w:bCs/>
          <w:sz w:val="22"/>
          <w:szCs w:val="22"/>
        </w:rPr>
        <w:t xml:space="preserve">22.a </w:t>
      </w:r>
      <w:r>
        <w:rPr>
          <w:rFonts w:ascii="Barlow" w:cs="Barlow" w:eastAsia="Barlow" w:hAnsi="Barlow"/>
          <w:sz w:val="22"/>
          <w:szCs w:val="22"/>
        </w:rPr>
        <w:t xml:space="preserve">Comptes. Le Comité doit établir, pour chaque exercice, les comptes requis par la législation applicable.</w:t>
      </w:r>
    </w:p>
    <w:p>
      <w:pPr>
        <w:spacing w:after="60" w:before="60"/>
        <w:ind w:left="360"/>
      </w:pPr>
      <w:r>
        <w:rPr>
          <w:rFonts w:ascii="Barlow" w:cs="Barlow" w:eastAsia="Barlow" w:hAnsi="Barlow"/>
          <w:b/>
          <w:bCs/>
          <w:sz w:val="22"/>
          <w:szCs w:val="22"/>
        </w:rPr>
        <w:t xml:space="preserve">22.b </w:t>
      </w:r>
      <w:r>
        <w:rPr>
          <w:rFonts w:ascii="Barlow" w:cs="Barlow" w:eastAsia="Barlow" w:hAnsi="Barlow"/>
          <w:sz w:val="22"/>
          <w:szCs w:val="22"/>
        </w:rPr>
        <w:t xml:space="preserve">Transparence. Les comptes de l’Association doivent être rendus transparents et accessibles au public.</w:t>
      </w:r>
    </w:p>
    <w:p>
      <w:pPr>
        <w:spacing w:after="60" w:before="60"/>
        <w:ind w:left="360"/>
      </w:pPr>
      <w:r>
        <w:rPr>
          <w:rFonts w:ascii="Barlow" w:cs="Barlow" w:eastAsia="Barlow" w:hAnsi="Barlow"/>
          <w:b/>
          <w:bCs/>
          <w:sz w:val="22"/>
          <w:szCs w:val="22"/>
        </w:rPr>
        <w:t xml:space="preserve">22.c </w:t>
      </w:r>
      <w:r>
        <w:rPr>
          <w:rFonts w:ascii="Barlow" w:cs="Barlow" w:eastAsia="Barlow" w:hAnsi="Barlow"/>
          <w:sz w:val="22"/>
          <w:szCs w:val="22"/>
        </w:rPr>
        <w:t xml:space="preserve">Exercice. L’exercice commence le 1er janvier et se termine le 31 décembre de chaque année.</w:t>
      </w:r>
    </w:p>
    <w:p>
      <w:pPr>
        <w:pStyle w:val="Heading2"/>
        <w:spacing w:after="120" w:before="240"/>
      </w:pPr>
      <w:r>
        <w:rPr>
          <w:rFonts w:ascii="Barlow" w:cs="Barlow" w:eastAsia="Barlow" w:hAnsi="Barlow"/>
          <w:b/>
          <w:bCs/>
          <w:color w:val="000000"/>
          <w:sz w:val="24"/>
          <w:szCs w:val="24"/>
        </w:rPr>
        <w:t xml:space="preserve">Article 23 – Code de conduite</w:t>
      </w:r>
    </w:p>
    <w:p>
      <w:pPr>
        <w:spacing w:after="80" w:before="80"/>
      </w:pPr>
      <w:r>
        <w:rPr>
          <w:rFonts w:ascii="Barlow" w:cs="Barlow" w:eastAsia="Barlow" w:hAnsi="Barlow"/>
          <w:sz w:val="22"/>
          <w:szCs w:val="22"/>
        </w:rPr>
        <w:t xml:space="preserve">Un code de conduite est défini afin de garantir que les interactions au sein de l’Association soient respectueuses, inclusives et non violentes.</w:t>
      </w:r>
    </w:p>
    <w:p>
      <w:pPr>
        <w:pStyle w:val="Heading2"/>
        <w:spacing w:after="120" w:before="240"/>
      </w:pPr>
      <w:r>
        <w:rPr>
          <w:rFonts w:ascii="Barlow" w:cs="Barlow" w:eastAsia="Barlow" w:hAnsi="Barlow"/>
          <w:b/>
          <w:bCs/>
          <w:color w:val="000000"/>
          <w:sz w:val="24"/>
          <w:szCs w:val="24"/>
        </w:rPr>
        <w:t xml:space="preserve">Article 24 – Responsabilité</w:t>
      </w:r>
    </w:p>
    <w:p>
      <w:pPr>
        <w:spacing w:after="80" w:before="80"/>
      </w:pPr>
      <w:r>
        <w:rPr>
          <w:rFonts w:ascii="Barlow" w:cs="Barlow" w:eastAsia="Barlow" w:hAnsi="Barlow"/>
          <w:sz w:val="22"/>
          <w:szCs w:val="22"/>
        </w:rPr>
        <w:t xml:space="preserve">L’Association répond seule de ses dettes et obligations, qui sont garanties par ses actifs, à l’exclusion de toute responsabilité individuelle de ses Membres.</w:t>
      </w:r>
    </w:p>
    <w:p>
      <w:pPr>
        <w:pStyle w:val="Heading2"/>
        <w:spacing w:after="120" w:before="240"/>
      </w:pPr>
      <w:r>
        <w:rPr>
          <w:rFonts w:ascii="Barlow" w:cs="Barlow" w:eastAsia="Barlow" w:hAnsi="Barlow"/>
          <w:b/>
          <w:bCs/>
          <w:color w:val="000000"/>
          <w:sz w:val="24"/>
          <w:szCs w:val="24"/>
        </w:rPr>
        <w:t xml:space="preserve">Article 25 – Dissolution</w:t>
      </w:r>
    </w:p>
    <w:p>
      <w:pPr>
        <w:spacing w:after="80" w:before="80"/>
      </w:pPr>
      <w:r>
        <w:rPr>
          <w:rFonts w:ascii="Barlow" w:cs="Barlow" w:eastAsia="Barlow" w:hAnsi="Barlow"/>
          <w:sz w:val="22"/>
          <w:szCs w:val="22"/>
        </w:rPr>
        <w:t xml:space="preserve">La dissolution de l’Association peut être décidée par une Assemblée générale ordinaire ou extraordinaire, à la majorité des deux tiers des Membres présents.</w:t>
      </w:r>
    </w:p>
    <w:p>
      <w:pPr>
        <w:spacing w:after="80" w:before="80"/>
      </w:pPr>
      <w:r>
        <w:rPr>
          <w:rFonts w:ascii="Barlow" w:cs="Barlow" w:eastAsia="Barlow" w:hAnsi="Barlow"/>
          <w:sz w:val="22"/>
          <w:szCs w:val="22"/>
        </w:rPr>
        <w:t xml:space="preserve">Dans ce cas, le Comité procède à la liquidation de l’Association.</w:t>
      </w:r>
    </w:p>
    <w:p>
      <w:pPr>
        <w:spacing w:after="80" w:before="80"/>
      </w:pPr>
      <w:r>
        <w:rPr>
          <w:rFonts w:ascii="Barlow" w:cs="Barlow" w:eastAsia="Barlow" w:hAnsi="Barlow"/>
          <w:sz w:val="22"/>
          <w:szCs w:val="22"/>
        </w:rPr>
        <w:t xml:space="preserve">Les actifs de l’Association servent en premier lieu à désintéresser les créanciers.</w:t>
      </w:r>
    </w:p>
    <w:p>
      <w:pPr>
        <w:spacing w:after="80" w:before="80"/>
      </w:pPr>
      <w:r>
        <w:rPr>
          <w:rFonts w:ascii="Barlow" w:cs="Barlow" w:eastAsia="Barlow" w:hAnsi="Barlow"/>
          <w:sz w:val="22"/>
          <w:szCs w:val="22"/>
        </w:rPr>
        <w:t xml:space="preserve">Les actifs restants sont entièrement attribués à une entité à but non lucratif poursuivant des buts d’intérêt public similaires et bénéficiant d’une exonération fiscale.</w:t>
      </w:r>
    </w:p>
    <w:p>
      <w:pPr>
        <w:spacing w:after="80" w:before="80"/>
      </w:pPr>
      <w:r>
        <w:rPr>
          <w:rFonts w:ascii="Barlow" w:cs="Barlow" w:eastAsia="Barlow" w:hAnsi="Barlow"/>
          <w:sz w:val="22"/>
          <w:szCs w:val="22"/>
        </w:rPr>
        <w:t xml:space="preserve">En aucun cas les actifs de l’Association ne peuvent être restitués à ses membres fondateurs ou à ses Membres, et ces derniers ne peuvent utiliser tout ou partie des actifs à leur propre profit, de quelque manière que ce soit.</w:t>
      </w:r>
    </w:p>
    <w:p>
      <w:pPr>
        <w:spacing w:after="80" w:before="80"/>
      </w:pPr>
      <w:r>
        <w:rPr>
          <w:rFonts w:ascii="Barlow" w:cs="Barlow" w:eastAsia="Barlow" w:hAnsi="Barlow"/>
          <w:i/>
          <w:iCs/>
          <w:sz w:val="22"/>
          <w:szCs w:val="22"/>
        </w:rPr>
        <w:t xml:space="preserve">La version originale allemande fait foi.</w:t>
      </w:r>
    </w:p>
    <w:p>
      <w:pPr>
        <w:pStyle w:val="Heading2"/>
        <w:spacing w:after="120" w:before="240"/>
      </w:pPr>
      <w:r>
        <w:rPr>
          <w:rFonts w:ascii="Barlow" w:cs="Barlow" w:eastAsia="Barlow" w:hAnsi="Barlow"/>
          <w:b/>
          <w:bCs/>
          <w:color w:val="000000"/>
          <w:sz w:val="24"/>
          <w:szCs w:val="24"/>
        </w:rPr>
        <w:t xml:space="preserve">Article 26 – Entrée en vigueur</w:t>
      </w:r>
    </w:p>
    <w:p>
      <w:pPr>
        <w:spacing w:after="80" w:before="80"/>
      </w:pPr>
      <w:r>
        <w:rPr>
          <w:rFonts w:ascii="Barlow" w:cs="Barlow" w:eastAsia="Barlow" w:hAnsi="Barlow"/>
          <w:sz w:val="22"/>
          <w:szCs w:val="22"/>
        </w:rPr>
        <w:t xml:space="preserve">Les présents statuts ont été adoptés lors de l’assemblée constitutive du 11 juin 2026 et sont entrés en vigueur à cette date.</w:t>
      </w:r>
    </w:p>
    <w:p>
      <w:pPr>
        <w:tabs>
          <w:tab w:val="right" w:pos="9000"/>
        </w:tabs>
        <w:spacing w:after="60" w:before="720"/>
      </w:pPr>
      <w:r>
        <w:rPr>
          <w:rFonts w:ascii="Barlow" w:cs="Barlow" w:eastAsia="Barlow" w:hAnsi="Barlow"/>
          <w:sz w:val="22"/>
          <w:szCs w:val="22"/>
        </w:rPr>
        <w:t xml:space="preserve">______________________________</w:t>
      </w:r>
      <w:r>
        <w:rPr>
          <w:rFonts w:ascii="Barlow" w:cs="Barlow" w:eastAsia="Barlow" w:hAnsi="Barlow"/>
          <w:sz w:val="22"/>
          <w:szCs w:val="22"/>
        </w:rPr>
        <w:t xml:space="preserve">	______________________________</w:t>
      </w:r>
    </w:p>
    <w:p>
      <w:pPr>
        <w:tabs>
          <w:tab w:val="right" w:pos="9000"/>
        </w:tabs>
        <w:spacing w:after="240" w:before="0"/>
      </w:pPr>
      <w:r>
        <w:rPr>
          <w:rFonts w:ascii="Barlow" w:cs="Barlow" w:eastAsia="Barlow" w:hAnsi="Barlow"/>
          <w:i/>
          <w:iCs/>
          <w:color w:val="555555"/>
          <w:sz w:val="20"/>
          <w:szCs w:val="20"/>
        </w:rPr>
        <w:t xml:space="preserve">Secrétaire de l’assemblée constitutive</w:t>
      </w:r>
      <w:r>
        <w:rPr>
          <w:rFonts w:ascii="Barlow" w:cs="Barlow" w:eastAsia="Barlow" w:hAnsi="Barlow"/>
          <w:i/>
          <w:iCs/>
          <w:color w:val="555555"/>
          <w:sz w:val="20"/>
          <w:szCs w:val="20"/>
        </w:rPr>
        <w:t xml:space="preserve">	Président·e de l’Association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bullet"/>
      <w:lvlText w:val="–"/>
      <w:lvlJc w:val="left"/>
      <w:pPr>
        <w:ind w:left="10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arlow" w:cs="Barlow" w:eastAsia="Barlow" w:hAnsi="Barlow"/>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320"/>
      <w:outlineLvl w:val="0"/>
    </w:pPr>
    <w:rPr>
      <w:rFonts w:ascii="Barlow" w:cs="Barlow" w:eastAsia="Barlow" w:hAnsi="Barlow"/>
      <w:b/>
      <w:bCs/>
      <w:color w:val="E11A27"/>
      <w:sz w:val="28"/>
      <w:szCs w:val="28"/>
    </w:rPr>
  </w:style>
  <w:style w:type="paragraph" w:styleId="Heading2">
    <w:name w:val="Heading 2"/>
    <w:basedOn w:val="Normal"/>
    <w:next w:val="Normal"/>
    <w:qFormat/>
    <w:pPr>
      <w:spacing w:after="120" w:before="240"/>
      <w:outlineLvl w:val="1"/>
    </w:pPr>
    <w:rPr>
      <w:rFonts w:ascii="Barlow" w:cs="Barlow" w:eastAsia="Barlow" w:hAnsi="Barlow"/>
      <w:b/>
      <w:bCs/>
      <w:color w:val="0000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DECIDIM SWITZERLAND — Decidim Switzerland</dc:title>
  <dc:creator>Decidim Switzerland</dc:creator>
  <cp:lastModifiedBy>Un-named</cp:lastModifiedBy>
  <cp:revision>1</cp:revision>
  <dcterms:created xsi:type="dcterms:W3CDTF">2026-06-10T13:31:19.697Z</dcterms:created>
  <dcterms:modified xsi:type="dcterms:W3CDTF">2026-06-10T13:31:19.697Z</dcterms:modified>
</cp:coreProperties>
</file>

<file path=docProps/custom.xml><?xml version="1.0" encoding="utf-8"?>
<Properties xmlns="http://schemas.openxmlformats.org/officeDocument/2006/custom-properties" xmlns:vt="http://schemas.openxmlformats.org/officeDocument/2006/docPropsVTypes"/>
</file>